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1F308">
      <w:pPr>
        <w:bidi w:val="0"/>
        <w:ind w:left="1921" w:leftChars="762" w:hanging="321" w:hangingChars="100"/>
        <w:jc w:val="both"/>
        <w:rPr>
          <w:b/>
          <w:bCs/>
          <w:sz w:val="32"/>
          <w:szCs w:val="32"/>
        </w:rPr>
      </w:pPr>
      <w:r>
        <w:rPr>
          <w:rFonts w:hint="eastAsia"/>
          <w:b/>
          <w:bCs/>
          <w:sz w:val="32"/>
          <w:szCs w:val="32"/>
          <w:lang w:val="en-US" w:eastAsia="zh-CN"/>
        </w:rPr>
        <w:t>野芳园商店结构加固项目控制价</w:t>
      </w:r>
      <w:r>
        <w:rPr>
          <w:rFonts w:hint="eastAsia"/>
          <w:b/>
          <w:bCs/>
          <w:sz w:val="32"/>
          <w:szCs w:val="32"/>
        </w:rPr>
        <w:t>说明</w:t>
      </w:r>
    </w:p>
    <w:p w14:paraId="31FEB7FB">
      <w:pPr>
        <w:snapToGrid w:val="0"/>
        <w:spacing w:line="360" w:lineRule="auto"/>
        <w:ind w:firstLine="442" w:firstLineChars="200"/>
        <w:rPr>
          <w:rFonts w:ascii="宋体" w:hAnsi="宋体"/>
          <w:b/>
          <w:sz w:val="22"/>
          <w:szCs w:val="22"/>
        </w:rPr>
      </w:pPr>
    </w:p>
    <w:p w14:paraId="1460C7B1">
      <w:p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一、工程概况：</w:t>
      </w:r>
    </w:p>
    <w:p w14:paraId="7DBC5013">
      <w:pPr>
        <w:pStyle w:val="6"/>
        <w:keepNext w:val="0"/>
        <w:keepLines w:val="0"/>
        <w:widowControl/>
        <w:suppressLineNumbers w:val="0"/>
        <w:spacing w:before="0" w:beforeAutospacing="0" w:after="0" w:afterAutospacing="0" w:line="360" w:lineRule="auto"/>
        <w:ind w:left="218" w:leftChars="104" w:righ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本工程为</w:t>
      </w:r>
      <w:r>
        <w:rPr>
          <w:rFonts w:hint="eastAsia" w:ascii="宋体" w:hAnsi="宋体" w:eastAsia="宋体" w:cs="宋体"/>
          <w:sz w:val="24"/>
          <w:szCs w:val="24"/>
          <w:lang w:val="en-US" w:eastAsia="zh-CN"/>
        </w:rPr>
        <w:t>野芳园商店结构加固项目</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位于滁州市琅琊山景区内。</w:t>
      </w:r>
    </w:p>
    <w:p w14:paraId="0588EFD1">
      <w:pPr>
        <w:numPr>
          <w:ilvl w:val="0"/>
          <w:numId w:val="1"/>
        </w:num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编制范围：</w:t>
      </w:r>
    </w:p>
    <w:p w14:paraId="73888C1C">
      <w:pPr>
        <w:numPr>
          <w:ilvl w:val="0"/>
          <w:numId w:val="0"/>
        </w:numPr>
        <w:snapToGrid w:val="0"/>
        <w:spacing w:line="360" w:lineRule="auto"/>
        <w:ind w:left="218" w:leftChars="104" w:firstLine="480" w:firstLineChars="200"/>
        <w:rPr>
          <w:rFonts w:hint="eastAsia" w:ascii="宋体" w:hAnsi="宋体" w:eastAsia="宋体" w:cs="宋体"/>
          <w:sz w:val="24"/>
          <w:szCs w:val="24"/>
        </w:rPr>
      </w:pPr>
      <w:r>
        <w:rPr>
          <w:rFonts w:hint="eastAsia" w:ascii="宋体" w:hAnsi="宋体" w:eastAsia="宋体" w:cs="宋体"/>
          <w:sz w:val="24"/>
          <w:szCs w:val="24"/>
        </w:rPr>
        <w:t>主要包括：</w:t>
      </w:r>
      <w:r>
        <w:rPr>
          <w:rFonts w:hint="eastAsia" w:ascii="宋体" w:hAnsi="宋体" w:eastAsia="宋体" w:cs="宋体"/>
          <w:sz w:val="24"/>
          <w:szCs w:val="24"/>
          <w:lang w:val="en-US" w:eastAsia="zh-CN"/>
        </w:rPr>
        <w:t>野芳园商店屋顶瓦、木屋架、防水层等屋面拆除，重新采用钢结构屋架加固、裂缝处理、恢复屋面瓦等项目内容</w:t>
      </w:r>
      <w:r>
        <w:rPr>
          <w:rFonts w:hint="eastAsia" w:ascii="宋体" w:hAnsi="宋体" w:eastAsia="宋体" w:cs="宋体"/>
          <w:sz w:val="24"/>
          <w:szCs w:val="24"/>
        </w:rPr>
        <w:t>。</w:t>
      </w:r>
    </w:p>
    <w:p w14:paraId="1D1FD701">
      <w:pPr>
        <w:numPr>
          <w:ilvl w:val="0"/>
          <w:numId w:val="1"/>
        </w:numPr>
        <w:snapToGrid w:val="0"/>
        <w:spacing w:line="360" w:lineRule="auto"/>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编制依据：</w:t>
      </w:r>
    </w:p>
    <w:p w14:paraId="2D9F6AA8">
      <w:pPr>
        <w:numPr>
          <w:ilvl w:val="0"/>
          <w:numId w:val="0"/>
        </w:numPr>
        <w:snapToGrid w:val="0"/>
        <w:spacing w:line="360" w:lineRule="auto"/>
        <w:ind w:leftChars="200" w:firstLine="240" w:firstLineChars="100"/>
        <w:rPr>
          <w:rFonts w:hint="eastAsia" w:ascii="宋体" w:hAnsi="宋体" w:eastAsia="宋体" w:cs="宋体"/>
          <w:sz w:val="24"/>
          <w:szCs w:val="24"/>
        </w:rPr>
      </w:pPr>
      <w:r>
        <w:rPr>
          <w:rFonts w:hint="eastAsia" w:ascii="宋体" w:hAnsi="宋体" w:eastAsia="宋体" w:cs="宋体"/>
          <w:sz w:val="24"/>
          <w:szCs w:val="24"/>
        </w:rPr>
        <w:t>1、本项目的招标文件</w:t>
      </w:r>
      <w:r>
        <w:rPr>
          <w:rFonts w:hint="eastAsia" w:ascii="宋体" w:hAnsi="宋体" w:eastAsia="宋体" w:cs="宋体"/>
          <w:sz w:val="24"/>
          <w:szCs w:val="24"/>
          <w:lang w:val="en-US" w:eastAsia="zh-CN"/>
        </w:rPr>
        <w:t>及项目委托合同</w:t>
      </w:r>
      <w:r>
        <w:rPr>
          <w:rFonts w:hint="eastAsia" w:ascii="宋体" w:hAnsi="宋体" w:eastAsia="宋体" w:cs="宋体"/>
          <w:sz w:val="24"/>
          <w:szCs w:val="24"/>
        </w:rPr>
        <w:t>；</w:t>
      </w:r>
    </w:p>
    <w:p w14:paraId="0543BBED">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、不可竞争费执行《安徽省住房和城乡建设厅关于调整安徽省建设工程不可竞争费构成及计费标准通知》建标【2021】42号文；</w:t>
      </w:r>
    </w:p>
    <w:p w14:paraId="48634405">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、《安徽省建设工程工程量清单计价规范》（DBJ26/T-206-2013）、《安徽省建设工程工程量清单计价办法》；</w:t>
      </w:r>
    </w:p>
    <w:p w14:paraId="7250EACB">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、《安徽省</w:t>
      </w:r>
      <w:r>
        <w:rPr>
          <w:rFonts w:hint="eastAsia" w:ascii="宋体" w:hAnsi="宋体" w:eastAsia="宋体" w:cs="宋体"/>
          <w:sz w:val="24"/>
          <w:szCs w:val="24"/>
          <w:lang w:val="en-US" w:eastAsia="zh-CN"/>
        </w:rPr>
        <w:t>房屋修缮</w:t>
      </w:r>
      <w:r>
        <w:rPr>
          <w:rFonts w:hint="eastAsia" w:ascii="宋体" w:hAnsi="宋体" w:eastAsia="宋体" w:cs="宋体"/>
          <w:sz w:val="24"/>
          <w:szCs w:val="24"/>
        </w:rPr>
        <w:t>计价定额（2018年）》、《安徽省建筑工程计价定额》（2018年）、《安徽省安装工程计价定额》（2018年）</w:t>
      </w:r>
      <w:r>
        <w:rPr>
          <w:rFonts w:hint="eastAsia" w:ascii="宋体" w:hAnsi="宋体" w:eastAsia="宋体" w:cs="宋体"/>
          <w:sz w:val="24"/>
          <w:szCs w:val="24"/>
          <w:lang w:val="en-US" w:eastAsia="zh-CN"/>
        </w:rPr>
        <w:t>及动态调整定额第1期</w:t>
      </w:r>
      <w:r>
        <w:rPr>
          <w:rFonts w:hint="eastAsia" w:ascii="宋体" w:hAnsi="宋体" w:eastAsia="宋体" w:cs="宋体"/>
          <w:sz w:val="24"/>
          <w:szCs w:val="24"/>
        </w:rPr>
        <w:t>；《安徽省建设工程费用定额》（2018年）；</w:t>
      </w:r>
    </w:p>
    <w:p w14:paraId="634C50B7">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、主要材料价格：材料价格参照202</w:t>
      </w:r>
      <w:r>
        <w:rPr>
          <w:rFonts w:hint="eastAsia" w:ascii="宋体" w:hAnsi="宋体" w:eastAsia="宋体" w:cs="宋体"/>
          <w:sz w:val="24"/>
          <w:szCs w:val="24"/>
          <w:lang w:val="en-US" w:eastAsia="zh-CN"/>
        </w:rPr>
        <w:t>5</w:t>
      </w:r>
      <w:r>
        <w:rPr>
          <w:rFonts w:hint="eastAsia" w:ascii="宋体" w:hAnsi="宋体" w:eastAsia="宋体" w:cs="宋体"/>
          <w:sz w:val="24"/>
          <w:szCs w:val="24"/>
        </w:rPr>
        <w:t>年滁州工程造价信息</w:t>
      </w: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期</w:t>
      </w:r>
      <w:r>
        <w:rPr>
          <w:rFonts w:hint="eastAsia" w:ascii="宋体" w:hAnsi="宋体" w:eastAsia="宋体" w:cs="宋体"/>
          <w:sz w:val="24"/>
          <w:szCs w:val="24"/>
        </w:rPr>
        <w:t>滁州市本级部分不含税价格，造价信息上没有的材料价格</w:t>
      </w:r>
      <w:r>
        <w:rPr>
          <w:rFonts w:hint="eastAsia" w:ascii="宋体" w:hAnsi="宋体" w:eastAsia="宋体" w:cs="宋体"/>
          <w:sz w:val="24"/>
          <w:szCs w:val="24"/>
          <w:lang w:val="en-US" w:eastAsia="zh-CN"/>
        </w:rPr>
        <w:t>按合肥、南京等周边信息价，信息价都没有的</w:t>
      </w:r>
      <w:r>
        <w:rPr>
          <w:rFonts w:hint="eastAsia" w:ascii="宋体" w:hAnsi="宋体" w:eastAsia="宋体" w:cs="宋体"/>
          <w:sz w:val="24"/>
          <w:szCs w:val="24"/>
        </w:rPr>
        <w:t>根据市场询价并经业主同意确定；</w:t>
      </w:r>
    </w:p>
    <w:p w14:paraId="2C261F9C">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、人工费按《滁州市住房和城乡建设局</w:t>
      </w:r>
      <w:bookmarkStart w:id="0" w:name="文号"/>
      <w:r>
        <w:rPr>
          <w:rFonts w:hint="eastAsia" w:ascii="宋体" w:hAnsi="宋体" w:eastAsia="宋体" w:cs="宋体"/>
          <w:sz w:val="24"/>
          <w:szCs w:val="24"/>
        </w:rPr>
        <w:t>建科[2021]34号</w:t>
      </w:r>
      <w:bookmarkEnd w:id="0"/>
      <w:r>
        <w:rPr>
          <w:rFonts w:hint="eastAsia" w:ascii="宋体" w:hAnsi="宋体" w:eastAsia="宋体" w:cs="宋体"/>
          <w:sz w:val="24"/>
          <w:szCs w:val="24"/>
        </w:rPr>
        <w:t>文》：“关于发布滁州市建设工程人工价格信息的通知调整”，即按15</w:t>
      </w:r>
      <w:r>
        <w:rPr>
          <w:rFonts w:hint="eastAsia" w:ascii="宋体" w:hAnsi="宋体" w:eastAsia="宋体" w:cs="宋体"/>
          <w:sz w:val="24"/>
          <w:szCs w:val="24"/>
          <w:lang w:val="en-US" w:eastAsia="zh-CN"/>
        </w:rPr>
        <w:t>7</w:t>
      </w:r>
      <w:r>
        <w:rPr>
          <w:rFonts w:hint="eastAsia" w:ascii="宋体" w:hAnsi="宋体" w:eastAsia="宋体" w:cs="宋体"/>
          <w:sz w:val="24"/>
          <w:szCs w:val="24"/>
        </w:rPr>
        <w:t>元/工日计取，其中1</w:t>
      </w:r>
      <w:r>
        <w:rPr>
          <w:rFonts w:hint="eastAsia" w:ascii="宋体" w:hAnsi="宋体" w:eastAsia="宋体" w:cs="宋体"/>
          <w:sz w:val="24"/>
          <w:szCs w:val="24"/>
          <w:lang w:val="en-US" w:eastAsia="zh-CN"/>
        </w:rPr>
        <w:t>7</w:t>
      </w:r>
      <w:r>
        <w:rPr>
          <w:rFonts w:hint="eastAsia" w:ascii="宋体" w:hAnsi="宋体" w:eastAsia="宋体" w:cs="宋体"/>
          <w:sz w:val="24"/>
          <w:szCs w:val="24"/>
        </w:rPr>
        <w:t>元/工日仅计取税金；</w:t>
      </w:r>
    </w:p>
    <w:p w14:paraId="5B6712E2">
      <w:pPr>
        <w:snapToGrid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、根据安徽省建设工程造价管理总站造价〔2019〕7号《关于调整我省现行建设工程计价依据增值税税率的通知》，增值税税率为9%；</w:t>
      </w:r>
    </w:p>
    <w:p w14:paraId="64DC20E5">
      <w:pPr>
        <w:snapToGrid w:val="0"/>
        <w:spacing w:line="360" w:lineRule="auto"/>
        <w:ind w:firstLine="720" w:firstLineChars="300"/>
        <w:rPr>
          <w:rFonts w:hint="eastAsia" w:ascii="宋体" w:hAnsi="宋体" w:eastAsia="宋体" w:cs="宋体"/>
          <w:bCs/>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、截止202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9</w:t>
      </w:r>
      <w:r>
        <w:rPr>
          <w:rFonts w:hint="eastAsia" w:ascii="宋体" w:hAnsi="宋体" w:eastAsia="宋体" w:cs="宋体"/>
          <w:sz w:val="24"/>
          <w:szCs w:val="24"/>
        </w:rPr>
        <w:t>月省、市有关政策性调整文件。</w:t>
      </w:r>
    </w:p>
    <w:p w14:paraId="451E530F">
      <w:pPr>
        <w:snapToGrid w:val="0"/>
        <w:spacing w:line="360" w:lineRule="auto"/>
        <w:ind w:firstLine="723" w:firstLineChars="300"/>
        <w:rPr>
          <w:rFonts w:hint="eastAsia" w:ascii="宋体" w:hAnsi="宋体" w:eastAsia="宋体" w:cs="宋体"/>
          <w:b/>
          <w:sz w:val="24"/>
          <w:szCs w:val="24"/>
        </w:rPr>
      </w:pPr>
      <w:r>
        <w:rPr>
          <w:rFonts w:hint="eastAsia" w:ascii="宋体" w:hAnsi="宋体" w:eastAsia="宋体" w:cs="宋体"/>
          <w:b/>
          <w:sz w:val="24"/>
          <w:szCs w:val="24"/>
        </w:rPr>
        <w:t>四、编制方法：</w:t>
      </w:r>
    </w:p>
    <w:p w14:paraId="38620F25">
      <w:pPr>
        <w:spacing w:line="360" w:lineRule="auto"/>
        <w:ind w:firstLine="960" w:firstLineChars="400"/>
        <w:jc w:val="left"/>
        <w:rPr>
          <w:rFonts w:hint="eastAsia" w:ascii="宋体" w:hAnsi="宋体" w:eastAsia="宋体" w:cs="宋体"/>
          <w:sz w:val="24"/>
          <w:szCs w:val="24"/>
        </w:rPr>
      </w:pPr>
      <w:r>
        <w:rPr>
          <w:rFonts w:hint="eastAsia" w:ascii="宋体" w:hAnsi="宋体" w:eastAsia="宋体" w:cs="宋体"/>
          <w:sz w:val="24"/>
          <w:szCs w:val="24"/>
        </w:rPr>
        <w:t>工程量清单计价法（增值税一般计税）</w:t>
      </w:r>
      <w:r>
        <w:rPr>
          <w:rFonts w:hint="eastAsia" w:ascii="宋体" w:hAnsi="宋体" w:eastAsia="宋体" w:cs="宋体"/>
          <w:sz w:val="24"/>
          <w:szCs w:val="24"/>
          <w:lang w:val="en-US" w:eastAsia="zh-CN"/>
        </w:rPr>
        <w:t>动态调整第1期</w:t>
      </w:r>
      <w:r>
        <w:rPr>
          <w:rFonts w:hint="eastAsia" w:ascii="宋体" w:hAnsi="宋体" w:eastAsia="宋体" w:cs="宋体"/>
          <w:sz w:val="24"/>
          <w:szCs w:val="24"/>
        </w:rPr>
        <w:t>。</w:t>
      </w:r>
    </w:p>
    <w:p w14:paraId="024160B7">
      <w:pPr>
        <w:numPr>
          <w:ilvl w:val="0"/>
          <w:numId w:val="0"/>
        </w:numPr>
        <w:spacing w:line="360" w:lineRule="auto"/>
        <w:ind w:leftChars="200" w:firstLine="241" w:firstLineChars="100"/>
        <w:jc w:val="left"/>
        <w:rPr>
          <w:rFonts w:hint="eastAsia" w:ascii="宋体" w:hAnsi="宋体" w:eastAsia="宋体" w:cs="宋体"/>
          <w:b/>
          <w:sz w:val="24"/>
          <w:szCs w:val="24"/>
        </w:rPr>
      </w:pPr>
      <w:r>
        <w:rPr>
          <w:rFonts w:hint="eastAsia" w:ascii="宋体" w:hAnsi="宋体" w:eastAsia="宋体" w:cs="宋体"/>
          <w:b/>
          <w:sz w:val="24"/>
          <w:szCs w:val="24"/>
          <w:lang w:val="en-US" w:eastAsia="zh-CN"/>
        </w:rPr>
        <w:t>五、</w:t>
      </w:r>
      <w:r>
        <w:rPr>
          <w:rFonts w:hint="eastAsia" w:ascii="宋体" w:hAnsi="宋体" w:eastAsia="宋体" w:cs="宋体"/>
          <w:b/>
          <w:sz w:val="24"/>
          <w:szCs w:val="24"/>
        </w:rPr>
        <w:t>编制有关说明：</w:t>
      </w:r>
    </w:p>
    <w:p w14:paraId="2C31E30F">
      <w:pPr>
        <w:numPr>
          <w:ilvl w:val="0"/>
          <w:numId w:val="0"/>
        </w:numPr>
        <w:spacing w:line="360" w:lineRule="auto"/>
        <w:ind w:leftChars="200" w:firstLine="480" w:firstLineChars="200"/>
        <w:jc w:val="left"/>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1、屋面瓦拆除时，尽量保存好，主材利旧，施工时有损坏时恢复，按原瓦规格型号颜色恢复</w:t>
      </w:r>
      <w:r>
        <w:rPr>
          <w:rFonts w:hint="eastAsia" w:ascii="宋体" w:hAnsi="宋体" w:eastAsia="宋体" w:cs="宋体"/>
          <w:sz w:val="24"/>
          <w:szCs w:val="24"/>
          <w:lang w:val="en-US" w:eastAsia="zh-CN"/>
        </w:rPr>
        <w:t>，投标人要勘查现场，自行考虑报价；</w:t>
      </w:r>
    </w:p>
    <w:p w14:paraId="484D89C4">
      <w:pPr>
        <w:numPr>
          <w:ilvl w:val="0"/>
          <w:numId w:val="0"/>
        </w:numPr>
        <w:spacing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2、本工程不计取赶工措施费及非夜间施工增加费；</w:t>
      </w:r>
    </w:p>
    <w:p w14:paraId="0FED6E9A">
      <w:pPr>
        <w:numPr>
          <w:ilvl w:val="0"/>
          <w:numId w:val="0"/>
        </w:numPr>
        <w:spacing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3、机械进退场以项发清单，不仅限于起重机吊装机械等所有工程机械进退场均综合考虑报价，结算不予调整</w:t>
      </w:r>
      <w:r>
        <w:rPr>
          <w:rFonts w:hint="eastAsia" w:ascii="宋体" w:hAnsi="宋体" w:eastAsia="宋体" w:cs="宋体"/>
          <w:sz w:val="24"/>
          <w:szCs w:val="24"/>
          <w:lang w:val="en-US" w:eastAsia="zh-CN"/>
        </w:rPr>
        <w:t>；</w:t>
      </w:r>
    </w:p>
    <w:p w14:paraId="17873F12">
      <w:pPr>
        <w:numPr>
          <w:ilvl w:val="0"/>
          <w:numId w:val="0"/>
        </w:numPr>
        <w:spacing w:line="360" w:lineRule="auto"/>
        <w:ind w:leftChars="20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4、所有项目清单综合单价均含有人工费、材料费、机械费、管理费、利润；材料二次倒运费</w:t>
      </w:r>
      <w:r>
        <w:rPr>
          <w:rFonts w:hint="eastAsia" w:ascii="宋体" w:hAnsi="宋体" w:eastAsia="宋体" w:cs="宋体"/>
          <w:sz w:val="24"/>
          <w:szCs w:val="24"/>
        </w:rPr>
        <w:t>均</w:t>
      </w:r>
      <w:r>
        <w:rPr>
          <w:rFonts w:hint="eastAsia" w:ascii="宋体" w:hAnsi="宋体" w:eastAsia="宋体" w:cs="宋体"/>
          <w:sz w:val="24"/>
          <w:szCs w:val="24"/>
          <w:lang w:val="en-US" w:eastAsia="zh-CN"/>
        </w:rPr>
        <w:t>含在各综合单价内</w:t>
      </w:r>
      <w:r>
        <w:rPr>
          <w:rFonts w:hint="eastAsia" w:ascii="宋体" w:hAnsi="宋体" w:eastAsia="宋体" w:cs="宋体"/>
          <w:sz w:val="24"/>
          <w:szCs w:val="24"/>
        </w:rPr>
        <w:t>一次性包死，</w:t>
      </w:r>
      <w:r>
        <w:rPr>
          <w:rFonts w:hint="eastAsia" w:ascii="宋体" w:hAnsi="宋体" w:eastAsia="宋体" w:cs="宋体"/>
          <w:sz w:val="24"/>
          <w:szCs w:val="24"/>
          <w:lang w:val="en-US" w:eastAsia="zh-CN"/>
        </w:rPr>
        <w:t>投标单位报价要充分考虑，</w:t>
      </w:r>
      <w:r>
        <w:rPr>
          <w:rFonts w:hint="eastAsia" w:ascii="宋体" w:hAnsi="宋体" w:eastAsia="宋体" w:cs="宋体"/>
          <w:sz w:val="24"/>
          <w:szCs w:val="24"/>
        </w:rPr>
        <w:t>结算时</w:t>
      </w:r>
      <w:r>
        <w:rPr>
          <w:rFonts w:hint="eastAsia" w:ascii="宋体" w:hAnsi="宋体" w:eastAsia="宋体" w:cs="宋体"/>
          <w:sz w:val="24"/>
          <w:szCs w:val="24"/>
          <w:lang w:val="en-US" w:eastAsia="zh-CN"/>
        </w:rPr>
        <w:t>不予</w:t>
      </w:r>
      <w:r>
        <w:rPr>
          <w:rFonts w:hint="eastAsia" w:ascii="宋体" w:hAnsi="宋体" w:eastAsia="宋体" w:cs="宋体"/>
          <w:sz w:val="24"/>
          <w:szCs w:val="24"/>
        </w:rPr>
        <w:t>调整</w:t>
      </w:r>
      <w:r>
        <w:rPr>
          <w:rFonts w:hint="eastAsia" w:ascii="宋体" w:hAnsi="宋体" w:eastAsia="宋体" w:cs="宋体"/>
          <w:sz w:val="24"/>
          <w:szCs w:val="24"/>
          <w:lang w:val="en-US" w:eastAsia="zh-CN"/>
        </w:rPr>
        <w:t>。</w:t>
      </w:r>
    </w:p>
    <w:p w14:paraId="68317764">
      <w:pPr>
        <w:pStyle w:val="9"/>
        <w:spacing w:line="360" w:lineRule="auto"/>
        <w:ind w:firstLine="744" w:firstLineChars="309"/>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六、编制结论：</w:t>
      </w:r>
    </w:p>
    <w:p w14:paraId="3B0EB94C">
      <w:pPr>
        <w:pStyle w:val="9"/>
        <w:spacing w:line="360" w:lineRule="auto"/>
        <w:ind w:firstLine="1221" w:firstLineChars="509"/>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最高投标限价：65636.86元</w:t>
      </w:r>
    </w:p>
    <w:p w14:paraId="394B69A6">
      <w:pPr>
        <w:pStyle w:val="9"/>
        <w:spacing w:line="360" w:lineRule="auto"/>
        <w:ind w:firstLine="1221" w:firstLineChars="509"/>
        <w:rPr>
          <w:rFonts w:hint="default"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人民币大写：陆万伍仟陆佰叁拾陆元捌角陆分。</w:t>
      </w:r>
    </w:p>
    <w:p w14:paraId="29A38CC4">
      <w:pPr>
        <w:pStyle w:val="9"/>
        <w:spacing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05304F6A">
      <w:pPr>
        <w:pStyle w:val="9"/>
        <w:spacing w:line="360" w:lineRule="auto"/>
        <w:ind w:firstLine="0" w:firstLineChars="0"/>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705B38AE">
      <w:pPr>
        <w:pStyle w:val="9"/>
        <w:spacing w:line="360" w:lineRule="auto"/>
        <w:ind w:firstLine="0" w:firstLineChars="0"/>
        <w:rPr>
          <w:rFonts w:hint="eastAsia" w:ascii="宋体" w:hAnsi="宋体" w:eastAsia="宋体" w:cs="宋体"/>
          <w:sz w:val="24"/>
          <w:szCs w:val="24"/>
        </w:rPr>
      </w:pPr>
    </w:p>
    <w:p w14:paraId="5EBBDAC5">
      <w:pPr>
        <w:pStyle w:val="9"/>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 xml:space="preserve">                                              </w:t>
      </w:r>
      <w:bookmarkStart w:id="1" w:name="_GoBack"/>
      <w:bookmarkEnd w:id="1"/>
    </w:p>
    <w:p w14:paraId="415E6144">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sectPr>
      <w:pgSz w:w="11906" w:h="16838"/>
      <w:pgMar w:top="1383" w:right="1519" w:bottom="1383"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E4D3B8"/>
    <w:multiLevelType w:val="singleLevel"/>
    <w:tmpl w:val="2DE4D3B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0Njc5OGY0MTgwODE1OWExMTdkZTFkNGFmN2Q2ODYifQ=="/>
    <w:docVar w:name="KSO_WPS_MARK_KEY" w:val="d75f156f-38ca-4994-b617-15e5eed74358"/>
  </w:docVars>
  <w:rsids>
    <w:rsidRoot w:val="1C2B6FAE"/>
    <w:rsid w:val="000335E5"/>
    <w:rsid w:val="00321CF0"/>
    <w:rsid w:val="003601B5"/>
    <w:rsid w:val="003B06FC"/>
    <w:rsid w:val="00546699"/>
    <w:rsid w:val="00592D67"/>
    <w:rsid w:val="00601403"/>
    <w:rsid w:val="006B5C17"/>
    <w:rsid w:val="00723168"/>
    <w:rsid w:val="009526AA"/>
    <w:rsid w:val="00A3073F"/>
    <w:rsid w:val="00A46E53"/>
    <w:rsid w:val="00B12CDD"/>
    <w:rsid w:val="00BF4E05"/>
    <w:rsid w:val="00C102F4"/>
    <w:rsid w:val="00CF4C7A"/>
    <w:rsid w:val="00E12DD0"/>
    <w:rsid w:val="00F74A57"/>
    <w:rsid w:val="0148356B"/>
    <w:rsid w:val="01E37E5F"/>
    <w:rsid w:val="04131ED2"/>
    <w:rsid w:val="04575F38"/>
    <w:rsid w:val="04D6137F"/>
    <w:rsid w:val="054D54EF"/>
    <w:rsid w:val="06B86A37"/>
    <w:rsid w:val="073F4EB6"/>
    <w:rsid w:val="075F6EB2"/>
    <w:rsid w:val="080B7A27"/>
    <w:rsid w:val="08A36C24"/>
    <w:rsid w:val="093904B4"/>
    <w:rsid w:val="093C74AB"/>
    <w:rsid w:val="0B24626A"/>
    <w:rsid w:val="0CA37841"/>
    <w:rsid w:val="0CDB399A"/>
    <w:rsid w:val="0D5F7C0C"/>
    <w:rsid w:val="0D714979"/>
    <w:rsid w:val="0F680FB4"/>
    <w:rsid w:val="0F696162"/>
    <w:rsid w:val="0FCB2F92"/>
    <w:rsid w:val="10CF0774"/>
    <w:rsid w:val="10D4446D"/>
    <w:rsid w:val="10D574DB"/>
    <w:rsid w:val="11475555"/>
    <w:rsid w:val="115E33CE"/>
    <w:rsid w:val="12D22D54"/>
    <w:rsid w:val="148F7029"/>
    <w:rsid w:val="14E8498B"/>
    <w:rsid w:val="15593193"/>
    <w:rsid w:val="169A13E1"/>
    <w:rsid w:val="170855F8"/>
    <w:rsid w:val="175260F8"/>
    <w:rsid w:val="18D414D2"/>
    <w:rsid w:val="193E7E8C"/>
    <w:rsid w:val="1A22687C"/>
    <w:rsid w:val="1BDC144C"/>
    <w:rsid w:val="1BF07630"/>
    <w:rsid w:val="1C2B6FAE"/>
    <w:rsid w:val="1C8F7618"/>
    <w:rsid w:val="1FE56859"/>
    <w:rsid w:val="20411EB6"/>
    <w:rsid w:val="20566C4C"/>
    <w:rsid w:val="20DA1778"/>
    <w:rsid w:val="22396826"/>
    <w:rsid w:val="224A1FC5"/>
    <w:rsid w:val="233C3C6C"/>
    <w:rsid w:val="235A71CB"/>
    <w:rsid w:val="23CA3AF4"/>
    <w:rsid w:val="23D20CE0"/>
    <w:rsid w:val="24C603C8"/>
    <w:rsid w:val="252A5A7D"/>
    <w:rsid w:val="25B52667"/>
    <w:rsid w:val="260B6105"/>
    <w:rsid w:val="262D4649"/>
    <w:rsid w:val="26AB1A43"/>
    <w:rsid w:val="26BF074A"/>
    <w:rsid w:val="27E53CDD"/>
    <w:rsid w:val="28BD7C51"/>
    <w:rsid w:val="28D56B7C"/>
    <w:rsid w:val="28F412B7"/>
    <w:rsid w:val="2ABD4ACF"/>
    <w:rsid w:val="2ADA252B"/>
    <w:rsid w:val="2BAF5818"/>
    <w:rsid w:val="2D921C3B"/>
    <w:rsid w:val="2E123925"/>
    <w:rsid w:val="2E3B424F"/>
    <w:rsid w:val="2ECC414F"/>
    <w:rsid w:val="2F4D56BE"/>
    <w:rsid w:val="32322621"/>
    <w:rsid w:val="3235770F"/>
    <w:rsid w:val="338A1331"/>
    <w:rsid w:val="338F084E"/>
    <w:rsid w:val="34056893"/>
    <w:rsid w:val="352E1AEE"/>
    <w:rsid w:val="354D65C6"/>
    <w:rsid w:val="366071F9"/>
    <w:rsid w:val="36A007CA"/>
    <w:rsid w:val="38DE2971"/>
    <w:rsid w:val="393142DE"/>
    <w:rsid w:val="3986543D"/>
    <w:rsid w:val="3A405C02"/>
    <w:rsid w:val="3A4D2A17"/>
    <w:rsid w:val="3AEF2CC1"/>
    <w:rsid w:val="3B4268D5"/>
    <w:rsid w:val="3B6B2F5C"/>
    <w:rsid w:val="3DA65304"/>
    <w:rsid w:val="3E474C77"/>
    <w:rsid w:val="3EB906D7"/>
    <w:rsid w:val="3F126122"/>
    <w:rsid w:val="3F59655C"/>
    <w:rsid w:val="40036482"/>
    <w:rsid w:val="40807FCF"/>
    <w:rsid w:val="40AF7D4B"/>
    <w:rsid w:val="41225D8B"/>
    <w:rsid w:val="413A45AB"/>
    <w:rsid w:val="41DA1BA6"/>
    <w:rsid w:val="430D0CC0"/>
    <w:rsid w:val="438B2093"/>
    <w:rsid w:val="44F00088"/>
    <w:rsid w:val="454342E6"/>
    <w:rsid w:val="45B7168C"/>
    <w:rsid w:val="47F24BFD"/>
    <w:rsid w:val="496438D9"/>
    <w:rsid w:val="4A634417"/>
    <w:rsid w:val="4AB2452E"/>
    <w:rsid w:val="4AB41401"/>
    <w:rsid w:val="4AE6444A"/>
    <w:rsid w:val="4B0C4228"/>
    <w:rsid w:val="4BC62629"/>
    <w:rsid w:val="4C483847"/>
    <w:rsid w:val="4E3E0B9C"/>
    <w:rsid w:val="4E467799"/>
    <w:rsid w:val="4F223031"/>
    <w:rsid w:val="4FBC3B8C"/>
    <w:rsid w:val="50551D9E"/>
    <w:rsid w:val="5080549C"/>
    <w:rsid w:val="50CC2D83"/>
    <w:rsid w:val="51226632"/>
    <w:rsid w:val="516B1A79"/>
    <w:rsid w:val="526D2519"/>
    <w:rsid w:val="52B0193D"/>
    <w:rsid w:val="531C22CA"/>
    <w:rsid w:val="53E2021C"/>
    <w:rsid w:val="55690BF5"/>
    <w:rsid w:val="561A21BD"/>
    <w:rsid w:val="56FA22AC"/>
    <w:rsid w:val="57786889"/>
    <w:rsid w:val="57BE6E91"/>
    <w:rsid w:val="57D2221E"/>
    <w:rsid w:val="58040325"/>
    <w:rsid w:val="582E1252"/>
    <w:rsid w:val="584B1044"/>
    <w:rsid w:val="59155B71"/>
    <w:rsid w:val="592D3965"/>
    <w:rsid w:val="5A6330F1"/>
    <w:rsid w:val="5C950D30"/>
    <w:rsid w:val="5D6C036B"/>
    <w:rsid w:val="5EB153BA"/>
    <w:rsid w:val="5F2142EE"/>
    <w:rsid w:val="5F44309B"/>
    <w:rsid w:val="5F4E73D5"/>
    <w:rsid w:val="5FF76DFD"/>
    <w:rsid w:val="60EF02B7"/>
    <w:rsid w:val="61756458"/>
    <w:rsid w:val="61EA6D97"/>
    <w:rsid w:val="628206C2"/>
    <w:rsid w:val="635459E7"/>
    <w:rsid w:val="637707DC"/>
    <w:rsid w:val="63A00324"/>
    <w:rsid w:val="64896CE3"/>
    <w:rsid w:val="64F31483"/>
    <w:rsid w:val="65B8190F"/>
    <w:rsid w:val="6687333F"/>
    <w:rsid w:val="66876248"/>
    <w:rsid w:val="66B5736C"/>
    <w:rsid w:val="677504ED"/>
    <w:rsid w:val="6849388F"/>
    <w:rsid w:val="684E01B1"/>
    <w:rsid w:val="69456E2B"/>
    <w:rsid w:val="69583C09"/>
    <w:rsid w:val="698C7E4B"/>
    <w:rsid w:val="69E20C71"/>
    <w:rsid w:val="6A631E13"/>
    <w:rsid w:val="6A9A3695"/>
    <w:rsid w:val="6AB94747"/>
    <w:rsid w:val="6B2D7B77"/>
    <w:rsid w:val="6B3934C7"/>
    <w:rsid w:val="6CA26529"/>
    <w:rsid w:val="6CF070AE"/>
    <w:rsid w:val="6D2334B1"/>
    <w:rsid w:val="6DBE2173"/>
    <w:rsid w:val="6DE54739"/>
    <w:rsid w:val="6E807139"/>
    <w:rsid w:val="6E9B0A68"/>
    <w:rsid w:val="6EDF0AB8"/>
    <w:rsid w:val="6F1F7391"/>
    <w:rsid w:val="6FF1412A"/>
    <w:rsid w:val="71305719"/>
    <w:rsid w:val="725C7810"/>
    <w:rsid w:val="74A37E7A"/>
    <w:rsid w:val="74E6365D"/>
    <w:rsid w:val="75412314"/>
    <w:rsid w:val="75D56B0D"/>
    <w:rsid w:val="75F47506"/>
    <w:rsid w:val="770A0F59"/>
    <w:rsid w:val="77456F99"/>
    <w:rsid w:val="77C65741"/>
    <w:rsid w:val="791A388B"/>
    <w:rsid w:val="79EA56DC"/>
    <w:rsid w:val="7AA80FC8"/>
    <w:rsid w:val="7AE069B4"/>
    <w:rsid w:val="7AF5534C"/>
    <w:rsid w:val="7BFB4504"/>
    <w:rsid w:val="7E6E2528"/>
    <w:rsid w:val="7E6E42D6"/>
    <w:rsid w:val="7FE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160"/>
    </w:pPr>
    <w:rPr>
      <w:sz w:val="24"/>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848</Words>
  <Characters>910</Characters>
  <Lines>23</Lines>
  <Paragraphs>6</Paragraphs>
  <TotalTime>9</TotalTime>
  <ScaleCrop>false</ScaleCrop>
  <LinksUpToDate>false</LinksUpToDate>
  <CharactersWithSpaces>1091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2023-03-22T22:59:00Z</dcterms:created>
  <dc:creator>，</dc:creator>
  <cp:lastModifiedBy>水晶之恋</cp:lastModifiedBy>
  <dcterms:modified xsi:type="dcterms:W3CDTF">2025-09-28T09:14:12Z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62016F997DAE42BA9856E36819E3CBB4_13</vt:lpwstr>
  </property>
  <property fmtid="{D5CDD505-2E9C-101B-9397-08002B2CF9AE}" pid="4" name="KSOTemplateDocerSaveRecord">
    <vt:lpwstr>eyJoZGlkIjoiNmQzYzYyODUwNGNlNTc3MmIwZTkzMjMwOTI4MjZmNmYiLCJ1c2VySWQiOiI1MDExMjM1NDkifQ==</vt:lpwstr>
  </property>
</Properties>
</file>